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0000"/>
          <w:sz w:val="36"/>
          <w:szCs w:val="36"/>
        </w:rPr>
      </w:pPr>
      <w:r w:rsidDel="00000000" w:rsidR="00000000" w:rsidRPr="00000000">
        <w:rPr>
          <w:b w:val="1"/>
          <w:bCs w:val="1"/>
          <w:color w:val="000000"/>
          <w:sz w:val="36"/>
          <w:szCs w:val="36"/>
          <w:rtl w:val="0"/>
        </w:rPr>
        <w:t xml:space="preserve">Dohoda o mlčenlivosti</w:t>
      </w:r>
    </w:p>
    <w:p w:rsidR="00000000" w:rsidDel="00000000" w:rsidP="00000000" w:rsidRDefault="00000000" w:rsidRPr="00000000" w14:paraId="00000002">
      <w:pPr>
        <w:spacing w:after="120" w:before="120" w:line="240" w:lineRule="auto"/>
        <w:jc w:val="center"/>
        <w:rPr>
          <w:color w:val="000000"/>
          <w:sz w:val="24"/>
          <w:szCs w:val="24"/>
        </w:rPr>
      </w:pPr>
      <w:r w:rsidDel="00000000" w:rsidR="00000000" w:rsidRPr="00000000">
        <w:rPr>
          <w:color w:val="000000"/>
          <w:sz w:val="24"/>
          <w:szCs w:val="24"/>
          <w:rtl w:val="0"/>
        </w:rPr>
        <w:t xml:space="preserve">(dále jen „</w:t>
      </w:r>
      <w:r w:rsidDel="00000000" w:rsidR="00000000" w:rsidRPr="00000000">
        <w:rPr>
          <w:b w:val="1"/>
          <w:bCs w:val="1"/>
          <w:color w:val="000000"/>
          <w:sz w:val="24"/>
          <w:szCs w:val="24"/>
          <w:rtl w:val="0"/>
        </w:rPr>
        <w:t xml:space="preserve">Smlouva</w:t>
      </w:r>
      <w:r w:rsidDel="00000000" w:rsidR="00000000" w:rsidRPr="00000000">
        <w:rPr>
          <w:color w:val="000000"/>
          <w:sz w:val="24"/>
          <w:szCs w:val="24"/>
          <w:rtl w:val="0"/>
        </w:rPr>
        <w:t xml:space="preserve">“)</w:t>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color w:val="000000"/>
          <w:sz w:val="24"/>
          <w:szCs w:val="24"/>
          <w:rtl w:val="0"/>
        </w:rPr>
        <w:t xml:space="preserve">uzavřená ve smyslu § 1746 odst. 2 z. č. 89/2012 Sb., občanský zákoník, ve znění pozdějších předpisů, mezi smluvními stranami:</w:t>
      </w:r>
    </w:p>
    <w:p w:rsidR="00000000" w:rsidDel="00000000" w:rsidP="00000000" w:rsidRDefault="00000000" w:rsidRPr="00000000" w14:paraId="0000000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rPr>
          <w:color w:val="000000"/>
          <w:sz w:val="24"/>
          <w:szCs w:val="24"/>
        </w:rPr>
      </w:pPr>
      <w:r w:rsidDel="00000000" w:rsidR="00000000" w:rsidRPr="00000000">
        <w:rPr>
          <w:color w:val="000000"/>
          <w:sz w:val="24"/>
          <w:szCs w:val="24"/>
          <w:rtl w:val="0"/>
        </w:rPr>
        <w:t xml:space="preserve">Název: </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Sídlo:</w:t>
      </w:r>
    </w:p>
    <w:p w:rsidR="00000000" w:rsidDel="00000000" w:rsidP="00000000" w:rsidRDefault="00000000" w:rsidRPr="00000000" w14:paraId="00000007">
      <w:pPr>
        <w:spacing w:after="0" w:line="240" w:lineRule="auto"/>
        <w:rPr>
          <w:color w:val="000000"/>
          <w:sz w:val="24"/>
          <w:szCs w:val="24"/>
        </w:rPr>
      </w:pPr>
      <w:r w:rsidDel="00000000" w:rsidR="00000000" w:rsidRPr="00000000">
        <w:rPr>
          <w:color w:val="000000"/>
          <w:sz w:val="24"/>
          <w:szCs w:val="24"/>
          <w:rtl w:val="0"/>
        </w:rPr>
        <w:t xml:space="preserve">IČO:</w:t>
      </w:r>
    </w:p>
    <w:p w:rsidR="00000000" w:rsidDel="00000000" w:rsidP="00000000" w:rsidRDefault="00000000" w:rsidRPr="00000000" w14:paraId="00000008">
      <w:pPr>
        <w:spacing w:after="0" w:line="240" w:lineRule="auto"/>
        <w:rPr>
          <w:color w:val="000000"/>
          <w:sz w:val="24"/>
          <w:szCs w:val="24"/>
        </w:rPr>
      </w:pPr>
      <w:r w:rsidDel="00000000" w:rsidR="00000000" w:rsidRPr="00000000">
        <w:rPr>
          <w:color w:val="000000"/>
          <w:sz w:val="24"/>
          <w:szCs w:val="24"/>
          <w:rtl w:val="0"/>
        </w:rPr>
        <w:t xml:space="preserve">Zastoupená: </w:t>
      </w:r>
    </w:p>
    <w:p w:rsidR="00000000" w:rsidDel="00000000" w:rsidP="00000000" w:rsidRDefault="00000000" w:rsidRPr="00000000" w14:paraId="00000009">
      <w:pPr>
        <w:spacing w:after="0" w:line="240" w:lineRule="auto"/>
        <w:rPr>
          <w:color w:val="000000"/>
          <w:sz w:val="24"/>
          <w:szCs w:val="24"/>
        </w:rPr>
      </w:pPr>
      <w:r w:rsidDel="00000000" w:rsidR="00000000" w:rsidRPr="00000000">
        <w:rPr>
          <w:color w:val="000000"/>
          <w:sz w:val="24"/>
          <w:szCs w:val="24"/>
          <w:rtl w:val="0"/>
        </w:rPr>
        <w:t xml:space="preserve">(dále jen „Oprávněný“)</w:t>
      </w:r>
    </w:p>
    <w:p w:rsidR="00000000" w:rsidDel="00000000" w:rsidP="00000000" w:rsidRDefault="00000000" w:rsidRPr="00000000" w14:paraId="0000000A">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color w:val="000000"/>
          <w:sz w:val="24"/>
          <w:szCs w:val="24"/>
        </w:rPr>
      </w:pPr>
      <w:r w:rsidDel="00000000" w:rsidR="00000000" w:rsidRPr="00000000">
        <w:rPr>
          <w:color w:val="000000"/>
          <w:sz w:val="24"/>
          <w:szCs w:val="24"/>
          <w:rtl w:val="0"/>
        </w:rPr>
        <w:t xml:space="preserve">a</w:t>
      </w:r>
    </w:p>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rPr>
          <w:color w:val="000000"/>
          <w:sz w:val="24"/>
          <w:szCs w:val="24"/>
        </w:rPr>
      </w:pPr>
      <w:r w:rsidDel="00000000" w:rsidR="00000000" w:rsidRPr="00000000">
        <w:rPr>
          <w:color w:val="000000"/>
          <w:sz w:val="24"/>
          <w:szCs w:val="24"/>
          <w:rtl w:val="0"/>
        </w:rPr>
        <w:t xml:space="preserve">Jméno:</w:t>
      </w:r>
    </w:p>
    <w:p w:rsidR="00000000" w:rsidDel="00000000" w:rsidP="00000000" w:rsidRDefault="00000000" w:rsidRPr="00000000" w14:paraId="0000000E">
      <w:pPr>
        <w:spacing w:after="0" w:line="240" w:lineRule="auto"/>
        <w:rPr>
          <w:color w:val="000000"/>
          <w:sz w:val="24"/>
          <w:szCs w:val="24"/>
        </w:rPr>
      </w:pPr>
      <w:r w:rsidDel="00000000" w:rsidR="00000000" w:rsidRPr="00000000">
        <w:rPr>
          <w:color w:val="000000"/>
          <w:sz w:val="24"/>
          <w:szCs w:val="24"/>
          <w:rtl w:val="0"/>
        </w:rPr>
        <w:t xml:space="preserve">Trvale bytem: </w:t>
      </w:r>
    </w:p>
    <w:p w:rsidR="00000000" w:rsidDel="00000000" w:rsidP="00000000" w:rsidRDefault="00000000" w:rsidRPr="00000000" w14:paraId="0000000F">
      <w:pPr>
        <w:spacing w:after="0" w:line="240" w:lineRule="auto"/>
        <w:rPr>
          <w:color w:val="000000"/>
          <w:sz w:val="24"/>
          <w:szCs w:val="24"/>
        </w:rPr>
      </w:pPr>
      <w:r w:rsidDel="00000000" w:rsidR="00000000" w:rsidRPr="00000000">
        <w:rPr>
          <w:color w:val="000000"/>
          <w:sz w:val="24"/>
          <w:szCs w:val="24"/>
          <w:rtl w:val="0"/>
        </w:rPr>
        <w:t xml:space="preserve">Datum narození: </w:t>
      </w:r>
    </w:p>
    <w:p w:rsidR="00000000" w:rsidDel="00000000" w:rsidP="00000000" w:rsidRDefault="00000000" w:rsidRPr="00000000" w14:paraId="00000010">
      <w:pPr>
        <w:spacing w:after="0" w:line="240" w:lineRule="auto"/>
        <w:rPr>
          <w:color w:val="000000"/>
          <w:sz w:val="24"/>
          <w:szCs w:val="24"/>
        </w:rPr>
      </w:pPr>
      <w:r w:rsidDel="00000000" w:rsidR="00000000" w:rsidRPr="00000000">
        <w:rPr>
          <w:color w:val="000000"/>
          <w:sz w:val="24"/>
          <w:szCs w:val="24"/>
          <w:rtl w:val="0"/>
        </w:rPr>
        <w:t xml:space="preserve">(dále jen „Povinný“) </w:t>
      </w:r>
    </w:p>
    <w:p w:rsidR="00000000" w:rsidDel="00000000" w:rsidP="00000000" w:rsidRDefault="00000000" w:rsidRPr="00000000" w14:paraId="00000011">
      <w:pPr>
        <w:spacing w:after="0" w:before="600" w:line="240" w:lineRule="auto"/>
        <w:jc w:val="center"/>
        <w:rPr>
          <w:b w:val="1"/>
          <w:bCs w:val="1"/>
          <w:color w:val="000000"/>
          <w:sz w:val="24"/>
          <w:szCs w:val="24"/>
        </w:rPr>
      </w:pPr>
      <w:r w:rsidDel="00000000" w:rsidR="00000000" w:rsidRPr="00000000">
        <w:rPr>
          <w:b w:val="1"/>
          <w:bCs w:val="1"/>
          <w:color w:val="000000"/>
          <w:sz w:val="24"/>
          <w:szCs w:val="24"/>
          <w:rtl w:val="0"/>
        </w:rPr>
        <w:t xml:space="preserve">I.</w:t>
      </w:r>
    </w:p>
    <w:p w:rsidR="00000000" w:rsidDel="00000000" w:rsidP="00000000" w:rsidRDefault="00000000" w:rsidRPr="00000000" w14:paraId="00000012">
      <w:pPr>
        <w:spacing w:after="240" w:line="240" w:lineRule="auto"/>
        <w:jc w:val="center"/>
        <w:rPr>
          <w:b w:val="1"/>
          <w:bCs w:val="1"/>
          <w:color w:val="000000"/>
          <w:sz w:val="24"/>
          <w:szCs w:val="24"/>
        </w:rPr>
      </w:pPr>
      <w:r w:rsidDel="00000000" w:rsidR="00000000" w:rsidRPr="00000000">
        <w:rPr>
          <w:b w:val="1"/>
          <w:bCs w:val="1"/>
          <w:color w:val="000000"/>
          <w:sz w:val="24"/>
          <w:szCs w:val="24"/>
          <w:rtl w:val="0"/>
        </w:rPr>
        <w:t xml:space="preserve">Předmět a účel Smlouvy</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Předmětem Smlouvy je závazek Povinného zachovávat mlčenlivost o všech informacích týkajících se činnosti Oprávněného, které Povinný získá v rámci své činnosti pro Oprávněného a které nejsou běžně dostupné veřejnosti (dále jen „Důvěrné informace“). Jde zejména o tyto informace: </w:t>
      </w:r>
      <w:r w:rsidDel="00000000" w:rsidR="00000000" w:rsidRPr="00000000">
        <w:rPr>
          <w:rFonts w:ascii="Aptos" w:cs="Aptos" w:eastAsia="Aptos" w:hAnsi="Aptos"/>
          <w:b w:val="0"/>
          <w:bCs w:val="0"/>
          <w:i w:val="0"/>
          <w:iCs w:val="0"/>
          <w:smallCaps w:val="0"/>
          <w:strike w:val="0"/>
          <w:color w:val="000000"/>
          <w:sz w:val="24"/>
          <w:szCs w:val="24"/>
          <w:highlight w:val="yellow"/>
          <w:u w:val="none"/>
          <w:vertAlign w:val="baseline"/>
          <w:rtl w:val="0"/>
        </w:rPr>
        <w:t xml:space="preserve">(doplnit).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 případě pochybností o důvěrnosti informací je Povinný povinen požádat Oprávněného o sdělení, zdali se jedná o důvěrnou informaci. V opačném případě se má za to, že informace je důvěrná.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Účelem Smlouvy je ochrana Důvěrných informací a předcházení jejich ztrátě, zničení či jinému zneužití. </w:t>
      </w:r>
    </w:p>
    <w:p w:rsidR="00000000" w:rsidDel="00000000" w:rsidP="00000000" w:rsidRDefault="00000000" w:rsidRPr="00000000" w14:paraId="00000016">
      <w:pPr>
        <w:spacing w:after="0" w:before="360" w:line="240" w:lineRule="auto"/>
        <w:jc w:val="center"/>
        <w:rPr>
          <w:b w:val="1"/>
          <w:bCs w:val="1"/>
          <w:color w:val="000000"/>
          <w:sz w:val="24"/>
          <w:szCs w:val="24"/>
        </w:rPr>
      </w:pPr>
      <w:r w:rsidDel="00000000" w:rsidR="00000000" w:rsidRPr="00000000">
        <w:rPr>
          <w:b w:val="1"/>
          <w:bCs w:val="1"/>
          <w:color w:val="000000"/>
          <w:sz w:val="24"/>
          <w:szCs w:val="24"/>
          <w:rtl w:val="0"/>
        </w:rPr>
        <w:t xml:space="preserve">II.</w:t>
      </w:r>
    </w:p>
    <w:p w:rsidR="00000000" w:rsidDel="00000000" w:rsidP="00000000" w:rsidRDefault="00000000" w:rsidRPr="00000000" w14:paraId="00000017">
      <w:pPr>
        <w:spacing w:after="240" w:line="240" w:lineRule="auto"/>
        <w:jc w:val="center"/>
        <w:rPr>
          <w:b w:val="1"/>
          <w:bCs w:val="1"/>
          <w:color w:val="000000"/>
          <w:sz w:val="24"/>
          <w:szCs w:val="24"/>
        </w:rPr>
      </w:pPr>
      <w:r w:rsidDel="00000000" w:rsidR="00000000" w:rsidRPr="00000000">
        <w:rPr>
          <w:b w:val="1"/>
          <w:bCs w:val="1"/>
          <w:color w:val="000000"/>
          <w:sz w:val="24"/>
          <w:szCs w:val="24"/>
          <w:rtl w:val="0"/>
        </w:rPr>
        <w:t xml:space="preserve">Povinnosti Povinného</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Povinný se zavazuje zachovávat mlčenlivost o Důvěrných informacích. Zejména se tím rozumí zdržet se jakéhokoli jednání, kterým by Důvěrné informace byly zveřejněny či poskytnuty třetí osobě či využity pro jiný účel, než pro který byly Povinnému zpřístupněny.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Povinný se zavazuje s Důvěrnými informacemi nakládat tak, aby nedošlo k jejich změně, zničení či ztrátě, případně jinému zneužití. </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Povinný nesmí používat Důvěrné informace v rámci svého podnikání či jiné činnosti ve svůj prospěch. </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Povinný se zavazuje ihned po skončení vzájemné spolupráce vrátit Oprávněnému všechny písemné materiály nebo materiály v elektronické podobě obsahující Důvěrné informace včetně jejich kopií. Dále se zavazuje podle instrukcí Oprávněného smazat jejich elektronické kopie ze všech datových úložišť. </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 případě podezření na únik nebo zneužití Důvěrných informací se Povinný zavazuje o této skutečnosti neprodleně informovat Oprávněného a přijmout všechna opatření nezbytná k zabránění nebo omezení rozsahu úniku či zneužití Důvěrných informací. </w:t>
      </w:r>
    </w:p>
    <w:p w:rsidR="00000000" w:rsidDel="00000000" w:rsidP="00000000" w:rsidRDefault="00000000" w:rsidRPr="00000000" w14:paraId="0000001D">
      <w:pPr>
        <w:spacing w:after="0" w:before="360" w:line="240" w:lineRule="auto"/>
        <w:jc w:val="center"/>
        <w:rPr>
          <w:b w:val="1"/>
          <w:bCs w:val="1"/>
          <w:color w:val="000000"/>
          <w:sz w:val="24"/>
          <w:szCs w:val="24"/>
        </w:rPr>
      </w:pPr>
      <w:r w:rsidDel="00000000" w:rsidR="00000000" w:rsidRPr="00000000">
        <w:rPr>
          <w:b w:val="1"/>
          <w:bCs w:val="1"/>
          <w:color w:val="000000"/>
          <w:sz w:val="24"/>
          <w:szCs w:val="24"/>
          <w:rtl w:val="0"/>
        </w:rPr>
        <w:t xml:space="preserve">III. </w:t>
        <w:br w:type="textWrapping"/>
        <w:t xml:space="preserve">Výjimky ze zákazu povinnosti mlčenlivosti</w:t>
      </w:r>
    </w:p>
    <w:p w:rsidR="00000000" w:rsidDel="00000000" w:rsidP="00000000" w:rsidRDefault="00000000" w:rsidRPr="00000000" w14:paraId="0000001E">
      <w:pPr>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01F">
      <w:pPr>
        <w:spacing w:after="120" w:line="240" w:lineRule="auto"/>
        <w:rPr>
          <w:color w:val="000000"/>
          <w:sz w:val="24"/>
          <w:szCs w:val="24"/>
        </w:rPr>
      </w:pPr>
      <w:r w:rsidDel="00000000" w:rsidR="00000000" w:rsidRPr="00000000">
        <w:rPr>
          <w:color w:val="000000"/>
          <w:sz w:val="24"/>
          <w:szCs w:val="24"/>
          <w:rtl w:val="0"/>
        </w:rPr>
        <w:t xml:space="preserve">Povinnost mlčenlivosti dle této Smlouvy platí s výjimkou případů, kdy: </w:t>
      </w:r>
    </w:p>
    <w:p w:rsidR="00000000" w:rsidDel="00000000" w:rsidP="00000000" w:rsidRDefault="00000000" w:rsidRPr="00000000" w14:paraId="00000020">
      <w:pPr>
        <w:spacing w:after="120" w:line="240" w:lineRule="auto"/>
        <w:rPr>
          <w:color w:val="000000"/>
          <w:sz w:val="24"/>
          <w:szCs w:val="24"/>
        </w:rPr>
      </w:pPr>
      <w:r w:rsidDel="00000000" w:rsidR="00000000" w:rsidRPr="00000000">
        <w:rPr>
          <w:color w:val="000000"/>
          <w:sz w:val="24"/>
          <w:szCs w:val="24"/>
          <w:rtl w:val="0"/>
        </w:rPr>
        <w:t xml:space="preserve">3.1 Oprávněný udělil Povinnému předchozí písemný souhlas s takovým zpřístupněním nebo použitím Důvěrných informací.</w:t>
      </w:r>
    </w:p>
    <w:p w:rsidR="00000000" w:rsidDel="00000000" w:rsidP="00000000" w:rsidRDefault="00000000" w:rsidRPr="00000000" w14:paraId="00000021">
      <w:pPr>
        <w:spacing w:after="120" w:line="240" w:lineRule="auto"/>
        <w:rPr>
          <w:color w:val="000000"/>
          <w:sz w:val="24"/>
          <w:szCs w:val="24"/>
        </w:rPr>
      </w:pPr>
      <w:r w:rsidDel="00000000" w:rsidR="00000000" w:rsidRPr="00000000">
        <w:rPr>
          <w:color w:val="000000"/>
          <w:sz w:val="24"/>
          <w:szCs w:val="24"/>
          <w:rtl w:val="0"/>
        </w:rPr>
        <w:t xml:space="preserve">3.2 Právní předpis, soud nebo orgán veřejné moci stanoví povinnost zpřístupnit nebo použít Důvěrné informace. </w:t>
      </w:r>
    </w:p>
    <w:p w:rsidR="00000000" w:rsidDel="00000000" w:rsidP="00000000" w:rsidRDefault="00000000" w:rsidRPr="00000000" w14:paraId="00000022">
      <w:pPr>
        <w:spacing w:after="0" w:before="360" w:line="240" w:lineRule="auto"/>
        <w:jc w:val="center"/>
        <w:rPr>
          <w:b w:val="1"/>
          <w:bCs w:val="1"/>
          <w:color w:val="000000"/>
          <w:sz w:val="24"/>
          <w:szCs w:val="24"/>
        </w:rPr>
      </w:pPr>
      <w:r w:rsidDel="00000000" w:rsidR="00000000" w:rsidRPr="00000000">
        <w:rPr>
          <w:b w:val="1"/>
          <w:bCs w:val="1"/>
          <w:color w:val="000000"/>
          <w:sz w:val="24"/>
          <w:szCs w:val="24"/>
          <w:rtl w:val="0"/>
        </w:rPr>
        <w:t xml:space="preserve">IV.</w:t>
      </w:r>
    </w:p>
    <w:p w:rsidR="00000000" w:rsidDel="00000000" w:rsidP="00000000" w:rsidRDefault="00000000" w:rsidRPr="00000000" w14:paraId="00000023">
      <w:pPr>
        <w:spacing w:after="240" w:line="240" w:lineRule="auto"/>
        <w:jc w:val="center"/>
        <w:rPr>
          <w:b w:val="1"/>
          <w:bCs w:val="1"/>
          <w:color w:val="000000"/>
          <w:sz w:val="24"/>
          <w:szCs w:val="24"/>
        </w:rPr>
      </w:pPr>
      <w:r w:rsidDel="00000000" w:rsidR="00000000" w:rsidRPr="00000000">
        <w:rPr>
          <w:b w:val="1"/>
          <w:bCs w:val="1"/>
          <w:color w:val="000000"/>
          <w:sz w:val="24"/>
          <w:szCs w:val="24"/>
          <w:rtl w:val="0"/>
        </w:rPr>
        <w:t xml:space="preserve">Sankce</w:t>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 případě, že Povinný poruší jakoukoliv povinnost podle této Smlouvy, zavazuje se zaplatit Oprávněnému smluvní pokutu ve výši </w:t>
      </w:r>
      <w:r w:rsidDel="00000000" w:rsidR="00000000" w:rsidRPr="00000000">
        <w:rPr>
          <w:rFonts w:ascii="Aptos" w:cs="Aptos" w:eastAsia="Aptos" w:hAnsi="Aptos"/>
          <w:b w:val="0"/>
          <w:bCs w:val="0"/>
          <w:i w:val="0"/>
          <w:iCs w:val="0"/>
          <w:smallCaps w:val="0"/>
          <w:strike w:val="0"/>
          <w:color w:val="000000"/>
          <w:sz w:val="24"/>
          <w:szCs w:val="24"/>
          <w:highlight w:val="yellow"/>
          <w:u w:val="none"/>
          <w:vertAlign w:val="baseline"/>
          <w:rtl w:val="0"/>
        </w:rPr>
        <w:t xml:space="preserve">(doplnit, např. 50.000,- Kč)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za každé jednotlivé porušení, a to do </w:t>
      </w:r>
      <w:r w:rsidDel="00000000" w:rsidR="00000000" w:rsidRPr="00000000">
        <w:rPr>
          <w:rFonts w:ascii="Aptos" w:cs="Aptos" w:eastAsia="Aptos" w:hAnsi="Aptos"/>
          <w:b w:val="0"/>
          <w:bCs w:val="0"/>
          <w:i w:val="0"/>
          <w:iCs w:val="0"/>
          <w:smallCaps w:val="0"/>
          <w:strike w:val="0"/>
          <w:color w:val="000000"/>
          <w:sz w:val="24"/>
          <w:szCs w:val="24"/>
          <w:highlight w:val="yellow"/>
          <w:u w:val="none"/>
          <w:vertAlign w:val="baseline"/>
          <w:rtl w:val="0"/>
        </w:rPr>
        <w:t xml:space="preserve">(doplnit, např. 14 dnů)</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od doručení výzvy. </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Zaplacením smluvní pokuty není dotčeno právo Oprávněného domáhat se náhrady škody v plném rozsahu, ani jeho právo požadovat odstranění závadného stavu. </w:t>
      </w:r>
    </w:p>
    <w:p w:rsidR="00000000" w:rsidDel="00000000" w:rsidP="00000000" w:rsidRDefault="00000000" w:rsidRPr="00000000" w14:paraId="00000026">
      <w:pPr>
        <w:spacing w:after="0" w:before="360" w:line="240" w:lineRule="auto"/>
        <w:jc w:val="center"/>
        <w:rPr>
          <w:b w:val="1"/>
          <w:bCs w:val="1"/>
          <w:color w:val="000000"/>
          <w:sz w:val="24"/>
          <w:szCs w:val="24"/>
        </w:rPr>
      </w:pPr>
      <w:r w:rsidDel="00000000" w:rsidR="00000000" w:rsidRPr="00000000">
        <w:rPr>
          <w:b w:val="1"/>
          <w:bCs w:val="1"/>
          <w:color w:val="000000"/>
          <w:sz w:val="24"/>
          <w:szCs w:val="24"/>
          <w:rtl w:val="0"/>
        </w:rPr>
        <w:t xml:space="preserve">V.</w:t>
      </w:r>
    </w:p>
    <w:p w:rsidR="00000000" w:rsidDel="00000000" w:rsidP="00000000" w:rsidRDefault="00000000" w:rsidRPr="00000000" w14:paraId="00000027">
      <w:pPr>
        <w:spacing w:after="240" w:line="240" w:lineRule="auto"/>
        <w:jc w:val="center"/>
        <w:rPr>
          <w:b w:val="1"/>
          <w:bCs w:val="1"/>
          <w:color w:val="000000"/>
          <w:sz w:val="24"/>
          <w:szCs w:val="24"/>
        </w:rPr>
      </w:pPr>
      <w:r w:rsidDel="00000000" w:rsidR="00000000" w:rsidRPr="00000000">
        <w:rPr>
          <w:b w:val="1"/>
          <w:bCs w:val="1"/>
          <w:color w:val="000000"/>
          <w:sz w:val="24"/>
          <w:szCs w:val="24"/>
          <w:rtl w:val="0"/>
        </w:rPr>
        <w:t xml:space="preserve">Závěrečná ustanovení</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Tato Smlouva je platná a účinná dnem podpisu oběma Smluvními stranami a uzavírá se na dobu </w:t>
      </w:r>
      <w:r w:rsidDel="00000000" w:rsidR="00000000" w:rsidRPr="00000000">
        <w:rPr>
          <w:rFonts w:ascii="Aptos" w:cs="Aptos" w:eastAsia="Aptos" w:hAnsi="Aptos"/>
          <w:b w:val="0"/>
          <w:bCs w:val="0"/>
          <w:i w:val="0"/>
          <w:iCs w:val="0"/>
          <w:smallCaps w:val="0"/>
          <w:strike w:val="0"/>
          <w:color w:val="000000"/>
          <w:sz w:val="24"/>
          <w:szCs w:val="24"/>
          <w:highlight w:val="yellow"/>
          <w:u w:val="none"/>
          <w:vertAlign w:val="baseline"/>
          <w:rtl w:val="0"/>
        </w:rPr>
        <w:t xml:space="preserve">neurčitou/ určitou do …… (nehodící se smazat).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Vztahy touto Smlouvou výslovně neupravené se řídí právním řádem České republiky, zejm. zákonem č. 89/2012 Sb., občanský zákoník, ve znění pozdějších předpisů. </w:t>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Tato Smlouva může být měněna nebo doplňována pouze písemnými dodatky, podepsanými oběma Smluvními stranami. </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Tato smlouva je vyhotovena ve dvou stejnopisech, z nichž každá Smluvní strana obdrží jeden.</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Ukáže-li se kterékoli ustanovení této Smlouvy neplatným nebo neúčinným, zbývající ustanovení této Smlouvy zůstávají platná a účinná v rozsahu povoleném platnými právními předpisy. </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Smluvní strany prohlašují, že si tuto Smlouvu před jejím podpisem přečetly a jejímu obsahu rozumí, a že byla uzavřena podle jejich pravé a svobodné vůle.</w:t>
      </w:r>
    </w:p>
    <w:p w:rsidR="00000000" w:rsidDel="00000000" w:rsidP="00000000" w:rsidRDefault="00000000" w:rsidRPr="00000000" w14:paraId="0000002E">
      <w:pPr>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02F">
      <w:pPr>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030">
      <w:pPr>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031">
      <w:pPr>
        <w:spacing w:after="120" w:line="240" w:lineRule="auto"/>
        <w:rPr>
          <w:color w:val="000000"/>
          <w:sz w:val="24"/>
          <w:szCs w:val="24"/>
        </w:rPr>
      </w:pPr>
      <w:r w:rsidDel="00000000" w:rsidR="00000000" w:rsidRPr="00000000">
        <w:rPr>
          <w:rtl w:val="0"/>
        </w:rPr>
      </w:r>
    </w:p>
    <w:p w:rsidR="00000000" w:rsidDel="00000000" w:rsidP="00000000" w:rsidRDefault="00000000" w:rsidRPr="00000000" w14:paraId="00000032">
      <w:pPr>
        <w:spacing w:after="120" w:line="240" w:lineRule="auto"/>
        <w:rPr>
          <w:b w:val="1"/>
          <w:bCs w:val="1"/>
          <w:color w:val="000000"/>
          <w:sz w:val="24"/>
          <w:szCs w:val="24"/>
        </w:rPr>
      </w:pPr>
      <w:r w:rsidDel="00000000" w:rsidR="00000000" w:rsidRPr="00000000">
        <w:rPr>
          <w:b w:val="1"/>
          <w:bCs w:val="1"/>
          <w:color w:val="000000"/>
          <w:sz w:val="24"/>
          <w:szCs w:val="24"/>
          <w:rtl w:val="0"/>
        </w:rPr>
        <w:t xml:space="preserve">Oprávněný:</w:t>
        <w:tab/>
        <w:tab/>
        <w:tab/>
        <w:tab/>
        <w:tab/>
        <w:tab/>
        <w:t xml:space="preserve">Povinný:</w:t>
      </w:r>
    </w:p>
    <w:p w:rsidR="00000000" w:rsidDel="00000000" w:rsidP="00000000" w:rsidRDefault="00000000" w:rsidRPr="00000000" w14:paraId="00000033">
      <w:pPr>
        <w:spacing w:after="0" w:line="240" w:lineRule="auto"/>
        <w:rPr>
          <w:color w:val="000000"/>
          <w:sz w:val="24"/>
          <w:szCs w:val="24"/>
        </w:rPr>
      </w:pPr>
      <w:r w:rsidDel="00000000" w:rsidR="00000000" w:rsidRPr="00000000">
        <w:rPr>
          <w:color w:val="000000"/>
          <w:sz w:val="24"/>
          <w:szCs w:val="24"/>
          <w:rtl w:val="0"/>
        </w:rPr>
        <w:t xml:space="preserve">V …………. dne ………                                     V ………… dne ………….</w:t>
      </w:r>
    </w:p>
    <w:p w:rsidR="00000000" w:rsidDel="00000000" w:rsidP="00000000" w:rsidRDefault="00000000" w:rsidRPr="00000000" w14:paraId="0000003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rPr>
          <w:color w:val="000000"/>
          <w:sz w:val="24"/>
          <w:szCs w:val="24"/>
        </w:rPr>
      </w:pPr>
      <w:r w:rsidDel="00000000" w:rsidR="00000000" w:rsidRPr="00000000">
        <w:rPr>
          <w:color w:val="000000"/>
          <w:sz w:val="24"/>
          <w:szCs w:val="24"/>
          <w:rtl w:val="0"/>
        </w:rPr>
        <w:t xml:space="preserve">………………………….                                     ………………………………… </w:t>
      </w:r>
    </w:p>
    <w:p w:rsidR="00000000" w:rsidDel="00000000" w:rsidP="00000000" w:rsidRDefault="00000000" w:rsidRPr="00000000" w14:paraId="00000038">
      <w:pPr>
        <w:spacing w:after="0" w:line="240" w:lineRule="auto"/>
        <w:rPr>
          <w:color w:val="000000"/>
          <w:sz w:val="24"/>
          <w:szCs w:val="24"/>
        </w:rPr>
      </w:pPr>
      <w:r w:rsidDel="00000000" w:rsidR="00000000" w:rsidRPr="00000000">
        <w:rPr>
          <w:color w:val="000000"/>
          <w:sz w:val="24"/>
          <w:szCs w:val="24"/>
          <w:rtl w:val="0"/>
        </w:rPr>
        <w:t xml:space="preserve">Podpis                                                               Podpis </w:t>
      </w:r>
    </w:p>
    <w:p w:rsidR="00000000" w:rsidDel="00000000" w:rsidP="00000000" w:rsidRDefault="00000000" w:rsidRPr="00000000" w14:paraId="00000039">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sectPr>
      <w:footerReference r:id="rId7" w:type="default"/>
      <w:pgSz w:h="16838" w:w="11906" w:orient="portrait"/>
      <w:pgMar w:bottom="1134" w:top="1417" w:left="1417" w:right="1417" w:header="708" w:footer="5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ahom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dpis7">
    <w:name w:val="heading 7"/>
    <w:basedOn w:val="Normln"/>
    <w:next w:val="Normln"/>
    <w:link w:val="Nadpis7Char"/>
    <w:uiPriority w:val="9"/>
    <w:semiHidden w:val="1"/>
    <w:unhideWhenUsed w:val="1"/>
    <w:qFormat w:val="1"/>
    <w:rsid w:val="007B5164"/>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7B5164"/>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7B5164"/>
    <w:pPr>
      <w:keepNext w:val="1"/>
      <w:keepLines w:val="1"/>
      <w:spacing w:after="0"/>
      <w:outlineLvl w:val="8"/>
    </w:pPr>
    <w:rPr>
      <w:rFonts w:cstheme="majorBidi" w:eastAsiaTheme="majorEastAsia"/>
      <w:color w:val="272727" w:themeColor="text1" w:themeTint="0000D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7B5164"/>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rsid w:val="007B5164"/>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rsid w:val="007B5164"/>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rsid w:val="007B5164"/>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rsid w:val="007B5164"/>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rsid w:val="007B5164"/>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7B5164"/>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7B5164"/>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7B5164"/>
    <w:rPr>
      <w:rFonts w:cstheme="majorBidi" w:eastAsiaTheme="majorEastAsia"/>
      <w:color w:val="272727" w:themeColor="text1" w:themeTint="0000D8"/>
    </w:rPr>
  </w:style>
  <w:style w:type="character" w:styleId="NzevChar" w:customStyle="1">
    <w:name w:val="Název Char"/>
    <w:basedOn w:val="Standardnpsmoodstavce"/>
    <w:link w:val="Nzev"/>
    <w:uiPriority w:val="10"/>
    <w:rsid w:val="007B5164"/>
    <w:rPr>
      <w:rFonts w:asciiTheme="majorHAnsi" w:cstheme="majorBidi" w:eastAsiaTheme="majorEastAsia" w:hAnsiTheme="majorHAnsi"/>
      <w:spacing w:val="-10"/>
      <w:kern w:val="28"/>
      <w:sz w:val="56"/>
      <w:szCs w:val="56"/>
    </w:rPr>
  </w:style>
  <w:style w:type="character" w:styleId="PodnadpisChar" w:customStyle="1">
    <w:name w:val="Podnadpis Char"/>
    <w:basedOn w:val="Standardnpsmoodstavce"/>
    <w:link w:val="Podnadpis"/>
    <w:uiPriority w:val="11"/>
    <w:rsid w:val="007B5164"/>
    <w:rPr>
      <w:rFonts w:cstheme="majorBidi" w:eastAsiaTheme="majorEastAsia"/>
      <w:color w:val="595959" w:themeColor="text1" w:themeTint="0000A6"/>
      <w:spacing w:val="15"/>
      <w:sz w:val="28"/>
      <w:szCs w:val="28"/>
    </w:rPr>
  </w:style>
  <w:style w:type="paragraph" w:styleId="Citt">
    <w:name w:val="Quote"/>
    <w:basedOn w:val="Normln"/>
    <w:next w:val="Normln"/>
    <w:link w:val="CittChar"/>
    <w:uiPriority w:val="29"/>
    <w:qFormat w:val="1"/>
    <w:rsid w:val="007B5164"/>
    <w:pPr>
      <w:spacing w:before="160"/>
      <w:jc w:val="center"/>
    </w:pPr>
    <w:rPr>
      <w:i w:val="1"/>
      <w:iCs w:val="1"/>
      <w:color w:val="404040" w:themeColor="text1" w:themeTint="0000BF"/>
    </w:rPr>
  </w:style>
  <w:style w:type="character" w:styleId="CittChar" w:customStyle="1">
    <w:name w:val="Citát Char"/>
    <w:basedOn w:val="Standardnpsmoodstavce"/>
    <w:link w:val="Citt"/>
    <w:uiPriority w:val="29"/>
    <w:rsid w:val="007B5164"/>
    <w:rPr>
      <w:i w:val="1"/>
      <w:iCs w:val="1"/>
      <w:color w:val="404040" w:themeColor="text1" w:themeTint="0000BF"/>
    </w:rPr>
  </w:style>
  <w:style w:type="paragraph" w:styleId="Odstavecseseznamem">
    <w:name w:val="List Paragraph"/>
    <w:basedOn w:val="Normln"/>
    <w:uiPriority w:val="34"/>
    <w:qFormat w:val="1"/>
    <w:rsid w:val="007B5164"/>
    <w:pPr>
      <w:ind w:left="720"/>
      <w:contextualSpacing w:val="1"/>
    </w:pPr>
  </w:style>
  <w:style w:type="character" w:styleId="Zdraznnintenzivn">
    <w:name w:val="Intense Emphasis"/>
    <w:basedOn w:val="Standardnpsmoodstavce"/>
    <w:uiPriority w:val="21"/>
    <w:qFormat w:val="1"/>
    <w:rsid w:val="007B5164"/>
    <w:rPr>
      <w:i w:val="1"/>
      <w:iCs w:val="1"/>
      <w:color w:val="0f4761" w:themeColor="accent1" w:themeShade="0000BF"/>
    </w:rPr>
  </w:style>
  <w:style w:type="paragraph" w:styleId="Vrazncitt">
    <w:name w:val="Intense Quote"/>
    <w:basedOn w:val="Normln"/>
    <w:next w:val="Normln"/>
    <w:link w:val="VrazncittChar"/>
    <w:uiPriority w:val="30"/>
    <w:qFormat w:val="1"/>
    <w:rsid w:val="007B516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VrazncittChar" w:customStyle="1">
    <w:name w:val="Výrazný citát Char"/>
    <w:basedOn w:val="Standardnpsmoodstavce"/>
    <w:link w:val="Vrazncitt"/>
    <w:uiPriority w:val="30"/>
    <w:rsid w:val="007B5164"/>
    <w:rPr>
      <w:i w:val="1"/>
      <w:iCs w:val="1"/>
      <w:color w:val="0f4761" w:themeColor="accent1" w:themeShade="0000BF"/>
    </w:rPr>
  </w:style>
  <w:style w:type="character" w:styleId="Odkazintenzivn">
    <w:name w:val="Intense Reference"/>
    <w:basedOn w:val="Standardnpsmoodstavce"/>
    <w:uiPriority w:val="32"/>
    <w:qFormat w:val="1"/>
    <w:rsid w:val="007B5164"/>
    <w:rPr>
      <w:b w:val="1"/>
      <w:bCs w:val="1"/>
      <w:smallCaps w:val="1"/>
      <w:color w:val="0f4761" w:themeColor="accent1" w:themeShade="0000BF"/>
      <w:spacing w:val="5"/>
    </w:rPr>
  </w:style>
  <w:style w:type="character" w:styleId="CharStyle3Exact" w:customStyle="1">
    <w:name w:val="Char Style 3 Exact"/>
    <w:basedOn w:val="Standardnpsmoodstavce"/>
    <w:uiPriority w:val="99"/>
    <w:rsid w:val="007B5164"/>
    <w:rPr>
      <w:rFonts w:cs="Times New Roman"/>
      <w:spacing w:val="2"/>
      <w:sz w:val="21"/>
      <w:szCs w:val="21"/>
      <w:u w:val="none"/>
    </w:rPr>
  </w:style>
  <w:style w:type="character" w:styleId="CharStyle12" w:customStyle="1">
    <w:name w:val="Char Style 12"/>
    <w:basedOn w:val="Standardnpsmoodstavce"/>
    <w:link w:val="Style11"/>
    <w:uiPriority w:val="99"/>
    <w:locked w:val="1"/>
    <w:rsid w:val="007B5164"/>
    <w:rPr>
      <w:b w:val="1"/>
      <w:bCs w:val="1"/>
      <w:sz w:val="23"/>
      <w:szCs w:val="23"/>
      <w:shd w:color="auto" w:fill="ffffff" w:val="clear"/>
    </w:rPr>
  </w:style>
  <w:style w:type="character" w:styleId="CharStyle13" w:customStyle="1">
    <w:name w:val="Char Style 13"/>
    <w:basedOn w:val="Standardnpsmoodstavce"/>
    <w:link w:val="Style2"/>
    <w:uiPriority w:val="99"/>
    <w:locked w:val="1"/>
    <w:rsid w:val="007B5164"/>
    <w:rPr>
      <w:shd w:color="auto" w:fill="ffffff" w:val="clear"/>
    </w:rPr>
  </w:style>
  <w:style w:type="paragraph" w:styleId="Style2" w:customStyle="1">
    <w:name w:val="Style 2"/>
    <w:basedOn w:val="Normln"/>
    <w:link w:val="CharStyle13"/>
    <w:uiPriority w:val="99"/>
    <w:rsid w:val="007B5164"/>
    <w:pPr>
      <w:widowControl w:val="0"/>
      <w:shd w:color="auto" w:fill="ffffff" w:val="clear"/>
      <w:spacing w:after="240" w:line="274" w:lineRule="exact"/>
      <w:ind w:hanging="560"/>
    </w:pPr>
    <w:rPr>
      <w:kern w:val="2"/>
      <w:sz w:val="24"/>
      <w:szCs w:val="24"/>
    </w:rPr>
  </w:style>
  <w:style w:type="paragraph" w:styleId="Style11" w:customStyle="1">
    <w:name w:val="Style 11"/>
    <w:basedOn w:val="Normln"/>
    <w:link w:val="CharStyle12"/>
    <w:uiPriority w:val="99"/>
    <w:rsid w:val="007B5164"/>
    <w:pPr>
      <w:widowControl w:val="0"/>
      <w:shd w:color="auto" w:fill="ffffff" w:val="clear"/>
      <w:spacing w:after="0" w:before="480" w:line="274" w:lineRule="exact"/>
      <w:jc w:val="center"/>
    </w:pPr>
    <w:rPr>
      <w:b w:val="1"/>
      <w:bCs w:val="1"/>
      <w:kern w:val="2"/>
      <w:sz w:val="23"/>
      <w:szCs w:val="23"/>
    </w:rPr>
  </w:style>
  <w:style w:type="paragraph" w:styleId="Zpat">
    <w:name w:val="footer"/>
    <w:basedOn w:val="Normln"/>
    <w:link w:val="ZpatChar"/>
    <w:uiPriority w:val="99"/>
    <w:unhideWhenUsed w:val="1"/>
    <w:rsid w:val="007B5164"/>
    <w:pPr>
      <w:tabs>
        <w:tab w:val="center" w:pos="4536"/>
        <w:tab w:val="right" w:pos="9072"/>
      </w:tabs>
      <w:spacing w:after="0" w:line="240" w:lineRule="auto"/>
    </w:pPr>
  </w:style>
  <w:style w:type="character" w:styleId="ZpatChar" w:customStyle="1">
    <w:name w:val="Zápatí Char"/>
    <w:basedOn w:val="Standardnpsmoodstavce"/>
    <w:link w:val="Zpat"/>
    <w:uiPriority w:val="99"/>
    <w:rsid w:val="007B5164"/>
    <w:rPr>
      <w:kern w:val="0"/>
      <w:sz w:val="22"/>
      <w:szCs w:val="22"/>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MmR/xBHSz8F37kgk3fmb8GlfA==">CgMxLjA4AHIhMTc0RHRRNlZvVDVMSzVsalA0YS03QTdmYTdxRzF2U2k5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2025-11-21T08:29:00Z</dcterms:created>
</cp:coreProperties>
</file>